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</w:t>
      </w:r>
      <w:bookmarkStart w:id="0" w:name="_GoBack"/>
      <w:bookmarkEnd w:id="0"/>
      <w:r w:rsidRPr="006077D8">
        <w:rPr>
          <w:rFonts w:ascii="Calibri" w:hAnsi="Calibri"/>
          <w:szCs w:val="22"/>
        </w:rPr>
        <w:t xml:space="preserve">podává nabídku na </w:t>
      </w:r>
      <w:r w:rsidR="004D7047" w:rsidRPr="006077D8">
        <w:rPr>
          <w:rFonts w:ascii="Calibri" w:hAnsi="Calibri"/>
          <w:szCs w:val="22"/>
        </w:rPr>
        <w:t>sektorovou veřejnou zakázku</w:t>
      </w:r>
      <w:r w:rsidRPr="006077D8">
        <w:rPr>
          <w:rFonts w:ascii="Calibri" w:hAnsi="Calibri"/>
          <w:szCs w:val="22"/>
        </w:rPr>
        <w:t xml:space="preserve"> s názvem </w:t>
      </w:r>
      <w:bookmarkStart w:id="1" w:name="_Toc403053768"/>
      <w:r w:rsidRPr="006077D8">
        <w:rPr>
          <w:rFonts w:ascii="Calibri" w:hAnsi="Calibri"/>
          <w:b/>
          <w:szCs w:val="22"/>
        </w:rPr>
        <w:t>„</w:t>
      </w:r>
      <w:bookmarkEnd w:id="1"/>
      <w:r w:rsidR="00C87EFF" w:rsidRPr="006077D8">
        <w:rPr>
          <w:rFonts w:ascii="Calibri" w:hAnsi="Calibri"/>
          <w:b/>
          <w:szCs w:val="22"/>
        </w:rPr>
        <w:t>Zaměření a výpočet 3D osy koleje TÚ 2791, Státní hranice ČR/SR - Lipov - Veselí nad Moravou</w:t>
      </w:r>
      <w:r w:rsidRPr="006077D8">
        <w:rPr>
          <w:rFonts w:ascii="Calibri" w:hAnsi="Calibri"/>
          <w:b/>
          <w:szCs w:val="22"/>
        </w:rPr>
        <w:t>“</w:t>
      </w:r>
      <w:r w:rsidRPr="006077D8">
        <w:rPr>
          <w:rFonts w:ascii="Calibri" w:hAnsi="Calibri"/>
          <w:szCs w:val="22"/>
        </w:rPr>
        <w:t xml:space="preserve">, </w:t>
      </w:r>
      <w:proofErr w:type="gramStart"/>
      <w:r w:rsidRPr="006077D8">
        <w:rPr>
          <w:rFonts w:ascii="Calibri" w:hAnsi="Calibri"/>
          <w:szCs w:val="22"/>
        </w:rPr>
        <w:t>č.j.</w:t>
      </w:r>
      <w:proofErr w:type="gramEnd"/>
      <w:r w:rsidRPr="006077D8">
        <w:rPr>
          <w:rFonts w:ascii="Calibri" w:hAnsi="Calibri"/>
          <w:szCs w:val="22"/>
        </w:rPr>
        <w:t xml:space="preserve"> </w:t>
      </w:r>
      <w:r w:rsidR="00865046" w:rsidRPr="006077D8">
        <w:rPr>
          <w:rFonts w:ascii="Calibri" w:hAnsi="Calibri"/>
        </w:rPr>
        <w:t>648/2019-SZDC-SZG OLC</w:t>
      </w:r>
      <w:r w:rsidR="00AC0DA0" w:rsidRPr="006077D8">
        <w:rPr>
          <w:rFonts w:ascii="Calibri" w:hAnsi="Calibri"/>
          <w:szCs w:val="22"/>
        </w:rPr>
        <w:t>,</w:t>
      </w:r>
      <w:r w:rsidRPr="006077D8">
        <w:rPr>
          <w:rFonts w:ascii="Calibri" w:hAnsi="Calibri"/>
          <w:szCs w:val="22"/>
        </w:rPr>
        <w:t xml:space="preserve"> tímto </w:t>
      </w:r>
      <w:r w:rsidR="007E4088" w:rsidRPr="006077D8">
        <w:rPr>
          <w:rFonts w:ascii="Calibri" w:hAnsi="Calibri"/>
          <w:szCs w:val="22"/>
        </w:rPr>
        <w:t>čestně prohlašuje</w:t>
      </w:r>
      <w:r w:rsidR="003B09D8" w:rsidRPr="006077D8">
        <w:rPr>
          <w:rFonts w:ascii="Calibri" w:hAnsi="Calibri"/>
          <w:szCs w:val="22"/>
        </w:rPr>
        <w:t>,</w:t>
      </w:r>
      <w:r w:rsidR="000A2445" w:rsidRPr="006077D8">
        <w:rPr>
          <w:rFonts w:ascii="Calibri" w:hAnsi="Calibri"/>
          <w:szCs w:val="22"/>
        </w:rPr>
        <w:t xml:space="preserve"> že</w:t>
      </w:r>
      <w:r w:rsidR="00E87D41" w:rsidRPr="006077D8">
        <w:rPr>
          <w:rFonts w:ascii="Calibri" w:hAnsi="Calibri"/>
          <w:szCs w:val="22"/>
        </w:rPr>
        <w:t xml:space="preserve"> </w:t>
      </w:r>
      <w:r w:rsidR="00E87D41" w:rsidRPr="006077D8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6077D8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6077D8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6077D8">
        <w:rPr>
          <w:rFonts w:ascii="Calibri" w:eastAsia="Calibri" w:hAnsi="Calibri"/>
          <w:szCs w:val="22"/>
          <w:lang w:eastAsia="en-US"/>
        </w:rPr>
        <w:t>respektive</w:t>
      </w:r>
      <w:r w:rsidR="00E87D41" w:rsidRPr="006077D8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6077D8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6077D8">
        <w:rPr>
          <w:rFonts w:ascii="Calibri" w:eastAsia="Calibri" w:hAnsi="Calibri"/>
          <w:szCs w:val="22"/>
          <w:lang w:eastAsia="en-US"/>
        </w:rPr>
        <w:t>smlouvě o dílo</w:t>
      </w:r>
      <w:r w:rsidR="003411C0" w:rsidRPr="006077D8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077D8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6077D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6077D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077D8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602C8-2175-48AC-92A8-797D4BF7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2019-04-16T10:36:00Z</cp:lastPrinted>
  <dcterms:created xsi:type="dcterms:W3CDTF">2018-03-08T11:02:00Z</dcterms:created>
  <dcterms:modified xsi:type="dcterms:W3CDTF">2019-04-16T10:36:00Z</dcterms:modified>
</cp:coreProperties>
</file>